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CA" w:rsidRPr="002B03CA" w:rsidRDefault="002B03CA" w:rsidP="002B03CA">
      <w:pPr>
        <w:widowControl/>
        <w:spacing w:before="100" w:beforeAutospacing="1" w:after="100" w:afterAutospacing="1"/>
        <w:outlineLvl w:val="1"/>
        <w:rPr>
          <w:rFonts w:eastAsia="新細明體" w:cstheme="minorHAnsi"/>
          <w:b/>
          <w:bCs/>
          <w:kern w:val="0"/>
          <w:sz w:val="40"/>
          <w:szCs w:val="40"/>
        </w:rPr>
      </w:pPr>
      <w:r w:rsidRPr="002B03CA">
        <w:rPr>
          <w:rFonts w:eastAsia="新細明體" w:cstheme="minorHAnsi"/>
          <w:b/>
          <w:bCs/>
          <w:kern w:val="0"/>
          <w:sz w:val="40"/>
          <w:szCs w:val="40"/>
        </w:rPr>
        <w:t xml:space="preserve">English Summary </w:t>
      </w:r>
      <w:r w:rsidRPr="00520C64">
        <w:rPr>
          <w:rFonts w:eastAsia="新細明體" w:cstheme="minorHAnsi"/>
          <w:b/>
          <w:bCs/>
          <w:kern w:val="0"/>
          <w:sz w:val="40"/>
          <w:szCs w:val="40"/>
        </w:rPr>
        <w:t xml:space="preserve">for Week </w:t>
      </w:r>
      <w:r w:rsidR="00F570B2">
        <w:rPr>
          <w:rFonts w:eastAsia="新細明體" w:cstheme="minorHAnsi" w:hint="eastAsia"/>
          <w:b/>
          <w:bCs/>
          <w:kern w:val="0"/>
          <w:sz w:val="40"/>
          <w:szCs w:val="40"/>
        </w:rPr>
        <w:t>2</w:t>
      </w:r>
      <w:r w:rsidRPr="00520C64">
        <w:rPr>
          <w:rFonts w:eastAsia="新細明體" w:cstheme="minorHAnsi"/>
          <w:b/>
          <w:bCs/>
          <w:kern w:val="0"/>
          <w:sz w:val="40"/>
          <w:szCs w:val="40"/>
        </w:rPr>
        <w:t xml:space="preserve"> </w:t>
      </w:r>
      <w:r w:rsidRPr="002B03CA">
        <w:rPr>
          <w:rFonts w:eastAsia="新細明體" w:cstheme="minorHAnsi"/>
          <w:b/>
          <w:bCs/>
          <w:kern w:val="0"/>
          <w:sz w:val="40"/>
          <w:szCs w:val="40"/>
        </w:rPr>
        <w:t>(10 minutes)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Good afternoon everyone.</w:t>
      </w:r>
      <w:r w:rsidRPr="00F570B2">
        <w:rPr>
          <w:rFonts w:eastAsia="新細明體" w:cstheme="minorHAnsi"/>
          <w:kern w:val="0"/>
          <w:sz w:val="28"/>
          <w:szCs w:val="28"/>
        </w:rPr>
        <w:br/>
        <w:t xml:space="preserve">To conclude today’s session, let me summarize in English what we covered in Week 2: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An Introduction to Accounting Information Databases.</w:t>
      </w:r>
    </w:p>
    <w:p w:rsidR="00F570B2" w:rsidRPr="00F570B2" w:rsidRDefault="00F570B2" w:rsidP="00F570B2">
      <w:pPr>
        <w:widowControl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F570B2" w:rsidRPr="00F570B2" w:rsidRDefault="00F570B2" w:rsidP="00F570B2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F570B2">
        <w:rPr>
          <w:rFonts w:eastAsia="新細明體" w:cstheme="minorHAnsi"/>
          <w:b/>
          <w:bCs/>
          <w:kern w:val="0"/>
          <w:sz w:val="32"/>
          <w:szCs w:val="32"/>
        </w:rPr>
        <w:t>1. Key Legal Framework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We first reviewed the main laws and regulations governing financial reporting:</w:t>
      </w:r>
    </w:p>
    <w:p w:rsidR="00F570B2" w:rsidRPr="00F570B2" w:rsidRDefault="00F570B2" w:rsidP="00F570B2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Securities and Exchange Act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(especially Articles 14 and 36).</w:t>
      </w:r>
    </w:p>
    <w:p w:rsidR="00F570B2" w:rsidRPr="00F570B2" w:rsidRDefault="00F570B2" w:rsidP="00F570B2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Regulations Governing the Preparation of Financial Reports by Securities Issuers</w:t>
      </w:r>
      <w:r w:rsidRPr="00F570B2">
        <w:rPr>
          <w:rFonts w:eastAsia="新細明體" w:cstheme="minorHAnsi"/>
          <w:kern w:val="0"/>
          <w:sz w:val="28"/>
          <w:szCs w:val="28"/>
        </w:rPr>
        <w:t>.</w:t>
      </w:r>
    </w:p>
    <w:p w:rsidR="00F570B2" w:rsidRPr="00F570B2" w:rsidRDefault="00F570B2" w:rsidP="00F570B2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Certified Public Accountant Act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and related auditing standards.</w:t>
      </w:r>
    </w:p>
    <w:p w:rsidR="00F570B2" w:rsidRPr="00F570B2" w:rsidRDefault="00F570B2" w:rsidP="00F570B2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Rules on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independent directors and supervisors</w:t>
      </w:r>
      <w:r w:rsidRPr="00F570B2">
        <w:rPr>
          <w:rFonts w:eastAsia="新細明體" w:cstheme="minorHAnsi"/>
          <w:kern w:val="0"/>
          <w:sz w:val="28"/>
          <w:szCs w:val="28"/>
        </w:rPr>
        <w:t>.</w:t>
      </w:r>
    </w:p>
    <w:p w:rsidR="00F570B2" w:rsidRPr="00F570B2" w:rsidRDefault="00F570B2" w:rsidP="00F570B2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And the requirement that companies with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capital over NT$10 billion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must disclose their annual financial reports within 75 days after year-end.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These rules form the backbone of corporate disclosure in Taiwan.</w:t>
      </w:r>
    </w:p>
    <w:p w:rsidR="00F570B2" w:rsidRPr="00F570B2" w:rsidRDefault="00F570B2" w:rsidP="00F570B2">
      <w:pPr>
        <w:widowControl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F570B2" w:rsidRPr="00F570B2" w:rsidRDefault="00F570B2" w:rsidP="00F570B2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F570B2">
        <w:rPr>
          <w:rFonts w:eastAsia="新細明體" w:cstheme="minorHAnsi"/>
          <w:b/>
          <w:bCs/>
          <w:kern w:val="0"/>
          <w:sz w:val="32"/>
          <w:szCs w:val="32"/>
        </w:rPr>
        <w:t>2. Reference Materials and Data Sources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We then introduced some important references:</w:t>
      </w:r>
    </w:p>
    <w:p w:rsidR="00F570B2" w:rsidRPr="00F570B2" w:rsidRDefault="00F570B2" w:rsidP="00F570B2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b/>
          <w:bCs/>
          <w:kern w:val="0"/>
          <w:sz w:val="28"/>
          <w:szCs w:val="28"/>
        </w:rPr>
        <w:t>Company Annual Reports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and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Stockholder Information</w:t>
      </w:r>
      <w:r w:rsidRPr="00F570B2">
        <w:rPr>
          <w:rFonts w:eastAsia="新細明體" w:cstheme="minorHAnsi"/>
          <w:kern w:val="0"/>
          <w:sz w:val="28"/>
          <w:szCs w:val="28"/>
        </w:rPr>
        <w:t>.</w:t>
      </w:r>
    </w:p>
    <w:p w:rsidR="00F570B2" w:rsidRPr="00F570B2" w:rsidRDefault="00F570B2" w:rsidP="00F570B2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Taiwan Stock Exchange’s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Market Observation Post System</w:t>
      </w:r>
      <w:r w:rsidRPr="00F570B2">
        <w:rPr>
          <w:rFonts w:eastAsia="新細明體" w:cstheme="minorHAnsi"/>
          <w:kern w:val="0"/>
          <w:sz w:val="28"/>
          <w:szCs w:val="28"/>
        </w:rPr>
        <w:t>.</w:t>
      </w:r>
    </w:p>
    <w:p w:rsidR="00F570B2" w:rsidRPr="00F570B2" w:rsidRDefault="00F570B2" w:rsidP="00F570B2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U.S. SEC’s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EDGAR database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, which includes filing forms and codes, as well as Taiwanese firms issuing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ADRs in the U.S.</w:t>
      </w:r>
    </w:p>
    <w:p w:rsidR="00F570B2" w:rsidRPr="00F570B2" w:rsidRDefault="00F570B2" w:rsidP="00F570B2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lastRenderedPageBreak/>
        <w:t xml:space="preserve">Mainland and Hong Kong exchanges, such as 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Hong Kong Stock Exchange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, 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Shanghai Stock Exchange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, and 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Shenzhen Stock Exchange</w:t>
      </w:r>
      <w:r w:rsidRPr="00F570B2">
        <w:rPr>
          <w:rFonts w:eastAsia="新細明體" w:cstheme="minorHAnsi"/>
          <w:kern w:val="0"/>
          <w:sz w:val="28"/>
          <w:szCs w:val="28"/>
        </w:rPr>
        <w:t>, all of which publish periodic company reports.</w:t>
      </w:r>
    </w:p>
    <w:p w:rsidR="00F570B2" w:rsidRPr="00F570B2" w:rsidRDefault="00F570B2" w:rsidP="00F570B2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Commercial portals like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Yahoo Finance</w:t>
      </w:r>
      <w:r w:rsidRPr="00F570B2">
        <w:rPr>
          <w:rFonts w:eastAsia="新細明體" w:cstheme="minorHAnsi"/>
          <w:kern w:val="0"/>
          <w:sz w:val="28"/>
          <w:szCs w:val="28"/>
        </w:rPr>
        <w:t>, which provide stock data and financial news.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These sources are essential for both academic research and practical financial analysis.</w:t>
      </w:r>
    </w:p>
    <w:p w:rsidR="00F570B2" w:rsidRPr="00F570B2" w:rsidRDefault="00F570B2" w:rsidP="00F570B2">
      <w:pPr>
        <w:widowControl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F570B2" w:rsidRPr="00F570B2" w:rsidRDefault="00F570B2" w:rsidP="00F570B2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F570B2">
        <w:rPr>
          <w:rFonts w:eastAsia="新細明體" w:cstheme="minorHAnsi"/>
          <w:b/>
          <w:bCs/>
          <w:kern w:val="0"/>
          <w:sz w:val="32"/>
          <w:szCs w:val="32"/>
        </w:rPr>
        <w:t>3. Rankings and Market Information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We also explored ranking systems and market value comparisons:</w:t>
      </w:r>
    </w:p>
    <w:p w:rsidR="00F570B2" w:rsidRPr="00F570B2" w:rsidRDefault="00F570B2" w:rsidP="00F570B2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b/>
          <w:bCs/>
          <w:kern w:val="0"/>
          <w:sz w:val="28"/>
          <w:szCs w:val="28"/>
        </w:rPr>
        <w:t>Taiwan market capitalization rankings</w:t>
      </w:r>
      <w:r w:rsidRPr="00F570B2">
        <w:rPr>
          <w:rFonts w:eastAsia="新細明體" w:cstheme="minorHAnsi"/>
          <w:kern w:val="0"/>
          <w:sz w:val="28"/>
          <w:szCs w:val="28"/>
        </w:rPr>
        <w:t>.</w:t>
      </w:r>
    </w:p>
    <w:p w:rsidR="00F570B2" w:rsidRPr="00F570B2" w:rsidRDefault="00F570B2" w:rsidP="00F570B2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b/>
          <w:bCs/>
          <w:kern w:val="0"/>
          <w:sz w:val="28"/>
          <w:szCs w:val="28"/>
        </w:rPr>
        <w:t>Global company rankings</w:t>
      </w:r>
      <w:r w:rsidRPr="00F570B2">
        <w:rPr>
          <w:rFonts w:eastAsia="新細明體" w:cstheme="minorHAnsi"/>
          <w:kern w:val="0"/>
          <w:sz w:val="28"/>
          <w:szCs w:val="28"/>
        </w:rPr>
        <w:t>.</w:t>
      </w:r>
    </w:p>
    <w:p w:rsidR="00F570B2" w:rsidRPr="00F570B2" w:rsidRDefault="00F570B2" w:rsidP="00F570B2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Lists of companies by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market value in Shanghai and Shenzhen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, and the differences between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A-shares and B-shares</w:t>
      </w:r>
      <w:r w:rsidRPr="00F570B2">
        <w:rPr>
          <w:rFonts w:eastAsia="新細明體" w:cstheme="minorHAnsi"/>
          <w:kern w:val="0"/>
          <w:sz w:val="28"/>
          <w:szCs w:val="28"/>
        </w:rPr>
        <w:t>.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Such rankings help us understand market dynamics and investor perspectives.</w:t>
      </w:r>
    </w:p>
    <w:p w:rsidR="00F570B2" w:rsidRPr="00F570B2" w:rsidRDefault="00F570B2" w:rsidP="00F570B2">
      <w:pPr>
        <w:widowControl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F570B2" w:rsidRPr="00F570B2" w:rsidRDefault="00F570B2" w:rsidP="00F570B2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F570B2">
        <w:rPr>
          <w:rFonts w:eastAsia="新細明體" w:cstheme="minorHAnsi"/>
          <w:b/>
          <w:bCs/>
          <w:kern w:val="0"/>
          <w:sz w:val="32"/>
          <w:szCs w:val="32"/>
        </w:rPr>
        <w:t>4. Key Institutions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We introduced several professional institutions:</w:t>
      </w:r>
    </w:p>
    <w:p w:rsidR="00F570B2" w:rsidRPr="00F570B2" w:rsidRDefault="00F570B2" w:rsidP="00F570B2">
      <w:pPr>
        <w:widowControl/>
        <w:numPr>
          <w:ilvl w:val="0"/>
          <w:numId w:val="8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Accounting Research and Development Foundation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in Taiwan.</w:t>
      </w:r>
    </w:p>
    <w:p w:rsidR="00F570B2" w:rsidRPr="00F570B2" w:rsidRDefault="00F570B2" w:rsidP="00F570B2">
      <w:pPr>
        <w:widowControl/>
        <w:numPr>
          <w:ilvl w:val="0"/>
          <w:numId w:val="8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Financial Supervisory Commission (FSC)</w:t>
      </w:r>
      <w:r w:rsidRPr="00F570B2">
        <w:rPr>
          <w:rFonts w:eastAsia="新細明體" w:cstheme="minorHAnsi"/>
          <w:kern w:val="0"/>
          <w:sz w:val="28"/>
          <w:szCs w:val="28"/>
        </w:rPr>
        <w:t>.</w:t>
      </w:r>
    </w:p>
    <w:p w:rsidR="00F570B2" w:rsidRPr="00F570B2" w:rsidRDefault="00F570B2" w:rsidP="00F570B2">
      <w:pPr>
        <w:widowControl/>
        <w:numPr>
          <w:ilvl w:val="0"/>
          <w:numId w:val="8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U.S.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Financial Accounting Standards Board (FASB)</w:t>
      </w:r>
      <w:r w:rsidRPr="00F570B2">
        <w:rPr>
          <w:rFonts w:eastAsia="新細明體" w:cstheme="minorHAnsi"/>
          <w:kern w:val="0"/>
          <w:sz w:val="28"/>
          <w:szCs w:val="28"/>
        </w:rPr>
        <w:t>, which publishes accounting standards and concepts.</w:t>
      </w:r>
    </w:p>
    <w:p w:rsidR="00F570B2" w:rsidRPr="00F570B2" w:rsidRDefault="00F570B2" w:rsidP="00F570B2">
      <w:pPr>
        <w:widowControl/>
        <w:numPr>
          <w:ilvl w:val="0"/>
          <w:numId w:val="8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Public Company Accounting Oversight Board (PCAOB)</w:t>
      </w:r>
      <w:r w:rsidRPr="00F570B2">
        <w:rPr>
          <w:rFonts w:eastAsia="新細明體" w:cstheme="minorHAnsi"/>
          <w:kern w:val="0"/>
          <w:sz w:val="28"/>
          <w:szCs w:val="28"/>
        </w:rPr>
        <w:t>, which issues auditing reports.</w:t>
      </w:r>
    </w:p>
    <w:p w:rsidR="00F570B2" w:rsidRPr="00F570B2" w:rsidRDefault="00F570B2" w:rsidP="00F570B2">
      <w:pPr>
        <w:widowControl/>
        <w:numPr>
          <w:ilvl w:val="0"/>
          <w:numId w:val="8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International Accounting Standards Board (IASB)</w:t>
      </w:r>
      <w:r w:rsidRPr="00F570B2">
        <w:rPr>
          <w:rFonts w:eastAsia="新細明體" w:cstheme="minorHAnsi"/>
          <w:kern w:val="0"/>
          <w:sz w:val="28"/>
          <w:szCs w:val="28"/>
        </w:rPr>
        <w:t>, responsible for IFRS and continuing amendments.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lastRenderedPageBreak/>
        <w:t>These bodies establish the frameworks that ensure comparability and transparency in reporting worldwide.</w:t>
      </w:r>
    </w:p>
    <w:p w:rsidR="00F570B2" w:rsidRPr="00F570B2" w:rsidRDefault="00F570B2" w:rsidP="00F570B2">
      <w:pPr>
        <w:widowControl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F570B2" w:rsidRPr="00F570B2" w:rsidRDefault="00F570B2" w:rsidP="00F570B2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F570B2">
        <w:rPr>
          <w:rFonts w:eastAsia="新細明體" w:cstheme="minorHAnsi"/>
          <w:b/>
          <w:bCs/>
          <w:kern w:val="0"/>
          <w:sz w:val="32"/>
          <w:szCs w:val="32"/>
        </w:rPr>
        <w:t>5. Standards and Due Process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Finally, we discussed how accounting standards are developed through a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due process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that includes:</w:t>
      </w:r>
      <w:bookmarkStart w:id="0" w:name="_GoBack"/>
      <w:bookmarkEnd w:id="0"/>
    </w:p>
    <w:p w:rsidR="00F570B2" w:rsidRPr="00F570B2" w:rsidRDefault="00F570B2" w:rsidP="00F570B2">
      <w:pPr>
        <w:widowControl/>
        <w:numPr>
          <w:ilvl w:val="0"/>
          <w:numId w:val="9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b/>
          <w:bCs/>
          <w:kern w:val="0"/>
          <w:sz w:val="28"/>
          <w:szCs w:val="28"/>
        </w:rPr>
        <w:t>Discussion Memoranda</w:t>
      </w:r>
    </w:p>
    <w:p w:rsidR="00F570B2" w:rsidRPr="00F570B2" w:rsidRDefault="00F570B2" w:rsidP="00F570B2">
      <w:pPr>
        <w:widowControl/>
        <w:numPr>
          <w:ilvl w:val="0"/>
          <w:numId w:val="9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b/>
          <w:bCs/>
          <w:kern w:val="0"/>
          <w:sz w:val="28"/>
          <w:szCs w:val="28"/>
        </w:rPr>
        <w:t>Exposure Drafts</w:t>
      </w:r>
    </w:p>
    <w:p w:rsidR="00F570B2" w:rsidRPr="00F570B2" w:rsidRDefault="00F570B2" w:rsidP="00F570B2">
      <w:pPr>
        <w:widowControl/>
        <w:numPr>
          <w:ilvl w:val="0"/>
          <w:numId w:val="9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And the final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issuance of standards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This process ensures that stakeholders—regulators, professionals, and the public—can all contribute before rules are finalized.</w:t>
      </w:r>
    </w:p>
    <w:p w:rsidR="00F570B2" w:rsidRPr="00F570B2" w:rsidRDefault="00F570B2" w:rsidP="00F570B2">
      <w:pPr>
        <w:widowControl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F570B2" w:rsidRPr="00F570B2" w:rsidRDefault="00F570B2" w:rsidP="00F570B2">
      <w:pPr>
        <w:widowControl/>
        <w:spacing w:before="100" w:beforeAutospacing="1" w:after="100" w:afterAutospacing="1"/>
        <w:outlineLvl w:val="2"/>
        <w:rPr>
          <w:rFonts w:eastAsia="新細明體" w:cstheme="minorHAnsi"/>
          <w:b/>
          <w:bCs/>
          <w:kern w:val="0"/>
          <w:sz w:val="32"/>
          <w:szCs w:val="32"/>
        </w:rPr>
      </w:pPr>
      <w:r w:rsidRPr="00F570B2">
        <w:rPr>
          <w:rFonts w:eastAsia="新細明體" w:cstheme="minorHAnsi"/>
          <w:b/>
          <w:bCs/>
          <w:kern w:val="0"/>
          <w:sz w:val="32"/>
          <w:szCs w:val="32"/>
        </w:rPr>
        <w:t>Closing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In summary, today we learned:</w:t>
      </w:r>
    </w:p>
    <w:p w:rsidR="00F570B2" w:rsidRPr="00F570B2" w:rsidRDefault="00F570B2" w:rsidP="00F570B2">
      <w:pPr>
        <w:widowControl/>
        <w:numPr>
          <w:ilvl w:val="0"/>
          <w:numId w:val="10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laws and regulations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that guide financial reporting.</w:t>
      </w:r>
    </w:p>
    <w:p w:rsidR="00F570B2" w:rsidRPr="00F570B2" w:rsidRDefault="00F570B2" w:rsidP="00F570B2">
      <w:pPr>
        <w:widowControl/>
        <w:numPr>
          <w:ilvl w:val="0"/>
          <w:numId w:val="10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key databases and sources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for company information.</w:t>
      </w:r>
    </w:p>
    <w:p w:rsidR="00F570B2" w:rsidRPr="00F570B2" w:rsidRDefault="00F570B2" w:rsidP="00F570B2">
      <w:pPr>
        <w:widowControl/>
        <w:numPr>
          <w:ilvl w:val="0"/>
          <w:numId w:val="10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market rankings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that provide broader financial context.</w:t>
      </w:r>
    </w:p>
    <w:p w:rsidR="00F570B2" w:rsidRPr="00F570B2" w:rsidRDefault="00F570B2" w:rsidP="00F570B2">
      <w:pPr>
        <w:widowControl/>
        <w:numPr>
          <w:ilvl w:val="0"/>
          <w:numId w:val="10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institutions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shaping standards and oversight.</w:t>
      </w:r>
    </w:p>
    <w:p w:rsidR="00F570B2" w:rsidRPr="00F570B2" w:rsidRDefault="00F570B2" w:rsidP="00F570B2">
      <w:pPr>
        <w:widowControl/>
        <w:numPr>
          <w:ilvl w:val="0"/>
          <w:numId w:val="10"/>
        </w:numPr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 xml:space="preserve">And the </w:t>
      </w:r>
      <w:r w:rsidRPr="00F570B2">
        <w:rPr>
          <w:rFonts w:eastAsia="新細明體" w:cstheme="minorHAnsi"/>
          <w:b/>
          <w:bCs/>
          <w:kern w:val="0"/>
          <w:sz w:val="28"/>
          <w:szCs w:val="28"/>
        </w:rPr>
        <w:t>due process</w:t>
      </w:r>
      <w:r w:rsidRPr="00F570B2">
        <w:rPr>
          <w:rFonts w:eastAsia="新細明體" w:cstheme="minorHAnsi"/>
          <w:kern w:val="0"/>
          <w:sz w:val="28"/>
          <w:szCs w:val="28"/>
        </w:rPr>
        <w:t xml:space="preserve"> that guarantees transparency in setting accounting rules.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Together, these elements form the global infrastructure of accounting information, which we will rely on throughout this course.</w:t>
      </w:r>
    </w:p>
    <w:p w:rsidR="00F570B2" w:rsidRPr="00F570B2" w:rsidRDefault="00F570B2" w:rsidP="00F570B2">
      <w:pPr>
        <w:widowControl/>
        <w:spacing w:before="100" w:beforeAutospacing="1" w:after="100" w:afterAutospacing="1"/>
        <w:rPr>
          <w:rFonts w:eastAsia="新細明體" w:cstheme="minorHAnsi"/>
          <w:kern w:val="0"/>
          <w:sz w:val="28"/>
          <w:szCs w:val="28"/>
        </w:rPr>
      </w:pPr>
      <w:r w:rsidRPr="00F570B2">
        <w:rPr>
          <w:rFonts w:eastAsia="新細明體" w:cstheme="minorHAnsi"/>
          <w:kern w:val="0"/>
          <w:sz w:val="28"/>
          <w:szCs w:val="28"/>
        </w:rPr>
        <w:t>Thank you.</w:t>
      </w:r>
    </w:p>
    <w:p w:rsidR="002F7005" w:rsidRPr="00F570B2" w:rsidRDefault="002F7005" w:rsidP="00F570B2">
      <w:pPr>
        <w:widowControl/>
        <w:spacing w:before="100" w:beforeAutospacing="1" w:after="100" w:afterAutospacing="1"/>
        <w:rPr>
          <w:rFonts w:cstheme="minorHAnsi"/>
          <w:sz w:val="28"/>
          <w:szCs w:val="28"/>
        </w:rPr>
      </w:pPr>
    </w:p>
    <w:sectPr w:rsidR="002F7005" w:rsidRPr="00F570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C8" w:rsidRDefault="000A7EC8" w:rsidP="001A1A51">
      <w:r>
        <w:separator/>
      </w:r>
    </w:p>
  </w:endnote>
  <w:endnote w:type="continuationSeparator" w:id="0">
    <w:p w:rsidR="000A7EC8" w:rsidRDefault="000A7EC8" w:rsidP="001A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561009"/>
      <w:docPartObj>
        <w:docPartGallery w:val="Page Numbers (Bottom of Page)"/>
        <w:docPartUnique/>
      </w:docPartObj>
    </w:sdtPr>
    <w:sdtEndPr/>
    <w:sdtContent>
      <w:p w:rsidR="001A1A51" w:rsidRDefault="001A1A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0B2" w:rsidRPr="00F570B2">
          <w:rPr>
            <w:noProof/>
            <w:lang w:val="zh-TW"/>
          </w:rPr>
          <w:t>1</w:t>
        </w:r>
        <w:r>
          <w:fldChar w:fldCharType="end"/>
        </w:r>
      </w:p>
    </w:sdtContent>
  </w:sdt>
  <w:p w:rsidR="001A1A51" w:rsidRDefault="001A1A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C8" w:rsidRDefault="000A7EC8" w:rsidP="001A1A51">
      <w:r>
        <w:separator/>
      </w:r>
    </w:p>
  </w:footnote>
  <w:footnote w:type="continuationSeparator" w:id="0">
    <w:p w:rsidR="000A7EC8" w:rsidRDefault="000A7EC8" w:rsidP="001A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6FE0"/>
    <w:multiLevelType w:val="multilevel"/>
    <w:tmpl w:val="77B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C2B27"/>
    <w:multiLevelType w:val="multilevel"/>
    <w:tmpl w:val="414A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12D78"/>
    <w:multiLevelType w:val="multilevel"/>
    <w:tmpl w:val="007C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046F3"/>
    <w:multiLevelType w:val="multilevel"/>
    <w:tmpl w:val="5786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3276D"/>
    <w:multiLevelType w:val="multilevel"/>
    <w:tmpl w:val="6F86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16FF1"/>
    <w:multiLevelType w:val="multilevel"/>
    <w:tmpl w:val="84FC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E585D"/>
    <w:multiLevelType w:val="multilevel"/>
    <w:tmpl w:val="571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E1AD6"/>
    <w:multiLevelType w:val="multilevel"/>
    <w:tmpl w:val="79F4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A038F"/>
    <w:multiLevelType w:val="multilevel"/>
    <w:tmpl w:val="8346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F7DB5"/>
    <w:multiLevelType w:val="multilevel"/>
    <w:tmpl w:val="CE50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CA"/>
    <w:rsid w:val="000A7EC8"/>
    <w:rsid w:val="001A1A51"/>
    <w:rsid w:val="002B03CA"/>
    <w:rsid w:val="002F7005"/>
    <w:rsid w:val="004B5173"/>
    <w:rsid w:val="00520C64"/>
    <w:rsid w:val="00555504"/>
    <w:rsid w:val="00F5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C9CCD-060B-48E6-B4DB-379F1859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B03C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B03C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B03C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2B03C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2B03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B03CA"/>
    <w:rPr>
      <w:b/>
      <w:bCs/>
    </w:rPr>
  </w:style>
  <w:style w:type="character" w:styleId="a4">
    <w:name w:val="Emphasis"/>
    <w:basedOn w:val="a0"/>
    <w:uiPriority w:val="20"/>
    <w:qFormat/>
    <w:rsid w:val="002B03CA"/>
    <w:rPr>
      <w:i/>
      <w:iCs/>
    </w:rPr>
  </w:style>
  <w:style w:type="paragraph" w:styleId="a5">
    <w:name w:val="header"/>
    <w:basedOn w:val="a"/>
    <w:link w:val="a6"/>
    <w:uiPriority w:val="99"/>
    <w:unhideWhenUsed/>
    <w:rsid w:val="001A1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A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A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3</cp:revision>
  <dcterms:created xsi:type="dcterms:W3CDTF">2025-09-01T03:22:00Z</dcterms:created>
  <dcterms:modified xsi:type="dcterms:W3CDTF">2025-09-01T03:23:00Z</dcterms:modified>
</cp:coreProperties>
</file>