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679E" w14:textId="77777777" w:rsidR="004B1301" w:rsidRPr="004B1301" w:rsidRDefault="004B1301" w:rsidP="004B1301">
      <w:pPr>
        <w:widowControl/>
        <w:spacing w:before="100" w:beforeAutospacing="1" w:after="100" w:afterAutospacing="1"/>
        <w:outlineLvl w:val="1"/>
        <w:rPr>
          <w:rFonts w:eastAsia="新細明體" w:cstheme="minorHAnsi"/>
          <w:b/>
          <w:bCs/>
          <w:kern w:val="0"/>
          <w:sz w:val="36"/>
          <w:szCs w:val="36"/>
        </w:rPr>
      </w:pPr>
      <w:r w:rsidRPr="004B1301">
        <w:rPr>
          <w:rFonts w:eastAsia="新細明體" w:cstheme="minorHAnsi"/>
          <w:b/>
          <w:bCs/>
          <w:kern w:val="0"/>
          <w:sz w:val="36"/>
          <w:szCs w:val="36"/>
        </w:rPr>
        <w:t>English Summary for Week 6 (10 minutes)</w:t>
      </w:r>
    </w:p>
    <w:p w14:paraId="77690471" w14:textId="4EF41485" w:rsidR="004B1301" w:rsidRPr="004B1301" w:rsidRDefault="004B1301" w:rsidP="004B1301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kern w:val="0"/>
          <w:szCs w:val="24"/>
        </w:rPr>
        <w:t>Good afternoon everyone.</w:t>
      </w:r>
      <w:r w:rsidR="00D86795">
        <w:rPr>
          <w:rFonts w:eastAsia="新細明體" w:cstheme="minorHAnsi" w:hint="eastAsia"/>
          <w:kern w:val="0"/>
          <w:szCs w:val="24"/>
        </w:rPr>
        <w:t xml:space="preserve"> </w:t>
      </w:r>
      <w:r w:rsidRPr="004B1301">
        <w:rPr>
          <w:rFonts w:eastAsia="新細明體" w:cstheme="minorHAnsi"/>
          <w:kern w:val="0"/>
          <w:szCs w:val="24"/>
        </w:rPr>
        <w:t xml:space="preserve">To conclude today’s session, let me summarize in English what we covered in </w:t>
      </w:r>
      <w:r w:rsidRPr="004B1301">
        <w:rPr>
          <w:rFonts w:eastAsia="新細明體" w:cstheme="minorHAnsi"/>
          <w:b/>
          <w:bCs/>
          <w:kern w:val="0"/>
          <w:szCs w:val="24"/>
        </w:rPr>
        <w:t>Week 6: TSMC’s Q2 2025 Financial Performance, ESG Achievements, and Global Reporting Frameworks.</w:t>
      </w:r>
    </w:p>
    <w:p w14:paraId="12DC6069" w14:textId="77777777" w:rsidR="004B1301" w:rsidRPr="004B1301" w:rsidRDefault="00000000" w:rsidP="004B1301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4FADC680">
          <v:rect id="_x0000_i1025" style="width:0;height:1.5pt" o:hralign="center" o:hrstd="t" o:hr="t" fillcolor="#a0a0a0" stroked="f"/>
        </w:pict>
      </w:r>
    </w:p>
    <w:p w14:paraId="2B6B4B47" w14:textId="77777777" w:rsidR="004B1301" w:rsidRPr="004B1301" w:rsidRDefault="004B1301" w:rsidP="004B1301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4B1301">
        <w:rPr>
          <w:rFonts w:eastAsia="新細明體" w:cstheme="minorHAnsi"/>
          <w:b/>
          <w:bCs/>
          <w:kern w:val="0"/>
          <w:sz w:val="27"/>
          <w:szCs w:val="27"/>
        </w:rPr>
        <w:t>1. Quarterly Financial Overview</w:t>
      </w:r>
    </w:p>
    <w:p w14:paraId="4E339FEF" w14:textId="77777777" w:rsidR="004B1301" w:rsidRPr="004B1301" w:rsidRDefault="004B1301" w:rsidP="004B1301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kern w:val="0"/>
          <w:szCs w:val="24"/>
        </w:rPr>
        <w:t xml:space="preserve">We began by reviewing </w:t>
      </w:r>
      <w:r w:rsidRPr="004B1301">
        <w:rPr>
          <w:rFonts w:eastAsia="新細明體" w:cstheme="minorHAnsi"/>
          <w:b/>
          <w:bCs/>
          <w:kern w:val="0"/>
          <w:szCs w:val="24"/>
        </w:rPr>
        <w:t>TSMC’s second-quarter 2025 management report.</w:t>
      </w:r>
      <w:r w:rsidRPr="004B1301">
        <w:rPr>
          <w:rFonts w:eastAsia="新細明體" w:cstheme="minorHAnsi"/>
          <w:kern w:val="0"/>
          <w:szCs w:val="24"/>
        </w:rPr>
        <w:br/>
        <w:t xml:space="preserve">Net revenue reached </w:t>
      </w:r>
      <w:r w:rsidRPr="004B1301">
        <w:rPr>
          <w:rFonts w:eastAsia="新細明體" w:cstheme="minorHAnsi"/>
          <w:b/>
          <w:bCs/>
          <w:kern w:val="0"/>
          <w:szCs w:val="24"/>
        </w:rPr>
        <w:t>NT$ 933.8 billion</w:t>
      </w:r>
      <w:r w:rsidRPr="004B1301">
        <w:rPr>
          <w:rFonts w:eastAsia="新細明體" w:cstheme="minorHAnsi"/>
          <w:kern w:val="0"/>
          <w:szCs w:val="24"/>
        </w:rPr>
        <w:t xml:space="preserve">, an increase of </w:t>
      </w:r>
      <w:r w:rsidRPr="004B1301">
        <w:rPr>
          <w:rFonts w:eastAsia="新細明體" w:cstheme="minorHAnsi"/>
          <w:b/>
          <w:bCs/>
          <w:kern w:val="0"/>
          <w:szCs w:val="24"/>
        </w:rPr>
        <w:t>11.3 percent quarter-over-quarter</w:t>
      </w:r>
      <w:r w:rsidRPr="004B1301">
        <w:rPr>
          <w:rFonts w:eastAsia="新細明體" w:cstheme="minorHAnsi"/>
          <w:kern w:val="0"/>
          <w:szCs w:val="24"/>
        </w:rPr>
        <w:t xml:space="preserve"> and </w:t>
      </w:r>
      <w:r w:rsidRPr="004B1301">
        <w:rPr>
          <w:rFonts w:eastAsia="新細明體" w:cstheme="minorHAnsi"/>
          <w:b/>
          <w:bCs/>
          <w:kern w:val="0"/>
          <w:szCs w:val="24"/>
        </w:rPr>
        <w:t>38.6 percent year-over-year</w:t>
      </w:r>
      <w:r w:rsidRPr="004B1301">
        <w:rPr>
          <w:rFonts w:eastAsia="新細明體" w:cstheme="minorHAnsi"/>
          <w:kern w:val="0"/>
          <w:szCs w:val="24"/>
        </w:rPr>
        <w:t xml:space="preserve">, supported by strong demand for </w:t>
      </w:r>
      <w:r w:rsidRPr="004B1301">
        <w:rPr>
          <w:rFonts w:eastAsia="新細明體" w:cstheme="minorHAnsi"/>
          <w:b/>
          <w:bCs/>
          <w:kern w:val="0"/>
          <w:szCs w:val="24"/>
        </w:rPr>
        <w:t>3-nanometer and 5-nanometer technologies.</w:t>
      </w:r>
      <w:r w:rsidRPr="004B1301">
        <w:rPr>
          <w:rFonts w:eastAsia="新細明體" w:cstheme="minorHAnsi"/>
          <w:kern w:val="0"/>
          <w:szCs w:val="24"/>
        </w:rPr>
        <w:br/>
      </w:r>
      <w:r w:rsidRPr="004B1301">
        <w:rPr>
          <w:rFonts w:eastAsia="新細明體" w:cstheme="minorHAnsi"/>
          <w:b/>
          <w:bCs/>
          <w:kern w:val="0"/>
          <w:szCs w:val="24"/>
        </w:rPr>
        <w:t>Net income</w:t>
      </w:r>
      <w:r w:rsidRPr="004B1301">
        <w:rPr>
          <w:rFonts w:eastAsia="新細明體" w:cstheme="minorHAnsi"/>
          <w:kern w:val="0"/>
          <w:szCs w:val="24"/>
        </w:rPr>
        <w:t xml:space="preserve"> rose to </w:t>
      </w:r>
      <w:r w:rsidRPr="004B1301">
        <w:rPr>
          <w:rFonts w:eastAsia="新細明體" w:cstheme="minorHAnsi"/>
          <w:b/>
          <w:bCs/>
          <w:kern w:val="0"/>
          <w:szCs w:val="24"/>
        </w:rPr>
        <w:t>NT$ 398.3 billion</w:t>
      </w:r>
      <w:r w:rsidRPr="004B1301">
        <w:rPr>
          <w:rFonts w:eastAsia="新細明體" w:cstheme="minorHAnsi"/>
          <w:kern w:val="0"/>
          <w:szCs w:val="24"/>
        </w:rPr>
        <w:t xml:space="preserve">, up </w:t>
      </w:r>
      <w:r w:rsidRPr="004B1301">
        <w:rPr>
          <w:rFonts w:eastAsia="新細明體" w:cstheme="minorHAnsi"/>
          <w:b/>
          <w:bCs/>
          <w:kern w:val="0"/>
          <w:szCs w:val="24"/>
        </w:rPr>
        <w:t>60.7 percent from a year earlier</w:t>
      </w:r>
      <w:r w:rsidRPr="004B1301">
        <w:rPr>
          <w:rFonts w:eastAsia="新細明體" w:cstheme="minorHAnsi"/>
          <w:kern w:val="0"/>
          <w:szCs w:val="24"/>
        </w:rPr>
        <w:t xml:space="preserve">, with </w:t>
      </w:r>
      <w:r w:rsidRPr="004B1301">
        <w:rPr>
          <w:rFonts w:eastAsia="新細明體" w:cstheme="minorHAnsi"/>
          <w:b/>
          <w:bCs/>
          <w:kern w:val="0"/>
          <w:szCs w:val="24"/>
        </w:rPr>
        <w:t>earnings per share (EPS)</w:t>
      </w:r>
      <w:r w:rsidRPr="004B1301">
        <w:rPr>
          <w:rFonts w:eastAsia="新細明體" w:cstheme="minorHAnsi"/>
          <w:kern w:val="0"/>
          <w:szCs w:val="24"/>
        </w:rPr>
        <w:t xml:space="preserve"> of </w:t>
      </w:r>
      <w:r w:rsidRPr="004B1301">
        <w:rPr>
          <w:rFonts w:eastAsia="新細明體" w:cstheme="minorHAnsi"/>
          <w:b/>
          <w:bCs/>
          <w:kern w:val="0"/>
          <w:szCs w:val="24"/>
        </w:rPr>
        <w:t>NT$ 15.36.</w:t>
      </w:r>
      <w:r w:rsidRPr="004B1301">
        <w:rPr>
          <w:rFonts w:eastAsia="新細明體" w:cstheme="minorHAnsi"/>
          <w:kern w:val="0"/>
          <w:szCs w:val="24"/>
        </w:rPr>
        <w:br/>
        <w:t xml:space="preserve">Gross margin stood at </w:t>
      </w:r>
      <w:r w:rsidRPr="004B1301">
        <w:rPr>
          <w:rFonts w:eastAsia="新細明體" w:cstheme="minorHAnsi"/>
          <w:b/>
          <w:bCs/>
          <w:kern w:val="0"/>
          <w:szCs w:val="24"/>
        </w:rPr>
        <w:t>58.6 percent</w:t>
      </w:r>
      <w:r w:rsidRPr="004B1301">
        <w:rPr>
          <w:rFonts w:eastAsia="新細明體" w:cstheme="minorHAnsi"/>
          <w:kern w:val="0"/>
          <w:szCs w:val="24"/>
        </w:rPr>
        <w:t>, slightly below 1Q25 due to exchange-rate effects but still much higher than in 2024.</w:t>
      </w:r>
      <w:r w:rsidRPr="004B1301">
        <w:rPr>
          <w:rFonts w:eastAsia="新細明體" w:cstheme="minorHAnsi"/>
          <w:kern w:val="0"/>
          <w:szCs w:val="24"/>
        </w:rPr>
        <w:br/>
      </w:r>
      <w:r w:rsidRPr="004B1301">
        <w:rPr>
          <w:rFonts w:eastAsia="新細明體" w:cstheme="minorHAnsi"/>
          <w:b/>
          <w:bCs/>
          <w:kern w:val="0"/>
          <w:szCs w:val="24"/>
        </w:rPr>
        <w:t>Operating margin</w:t>
      </w:r>
      <w:r w:rsidRPr="004B1301">
        <w:rPr>
          <w:rFonts w:eastAsia="新細明體" w:cstheme="minorHAnsi"/>
          <w:kern w:val="0"/>
          <w:szCs w:val="24"/>
        </w:rPr>
        <w:t xml:space="preserve"> improved to </w:t>
      </w:r>
      <w:r w:rsidRPr="004B1301">
        <w:rPr>
          <w:rFonts w:eastAsia="新細明體" w:cstheme="minorHAnsi"/>
          <w:b/>
          <w:bCs/>
          <w:kern w:val="0"/>
          <w:szCs w:val="24"/>
        </w:rPr>
        <w:t>49.6 percent</w:t>
      </w:r>
      <w:r w:rsidRPr="004B1301">
        <w:rPr>
          <w:rFonts w:eastAsia="新細明體" w:cstheme="minorHAnsi"/>
          <w:kern w:val="0"/>
          <w:szCs w:val="24"/>
        </w:rPr>
        <w:t>, reflecting better capacity utilization and cost management.</w:t>
      </w:r>
    </w:p>
    <w:p w14:paraId="2D8B760F" w14:textId="77777777" w:rsidR="004B1301" w:rsidRPr="004B1301" w:rsidRDefault="004B1301" w:rsidP="004B1301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kern w:val="0"/>
          <w:szCs w:val="24"/>
        </w:rPr>
        <w:t xml:space="preserve">By technology, </w:t>
      </w:r>
      <w:r w:rsidRPr="004B1301">
        <w:rPr>
          <w:rFonts w:eastAsia="新細明體" w:cstheme="minorHAnsi"/>
          <w:b/>
          <w:bCs/>
          <w:kern w:val="0"/>
          <w:szCs w:val="24"/>
        </w:rPr>
        <w:t>advanced processes (7 nm and below)</w:t>
      </w:r>
      <w:r w:rsidRPr="004B1301">
        <w:rPr>
          <w:rFonts w:eastAsia="新細明體" w:cstheme="minorHAnsi"/>
          <w:kern w:val="0"/>
          <w:szCs w:val="24"/>
        </w:rPr>
        <w:t xml:space="preserve"> contributed </w:t>
      </w:r>
      <w:r w:rsidRPr="004B1301">
        <w:rPr>
          <w:rFonts w:eastAsia="新細明體" w:cstheme="minorHAnsi"/>
          <w:b/>
          <w:bCs/>
          <w:kern w:val="0"/>
          <w:szCs w:val="24"/>
        </w:rPr>
        <w:t>74 percent</w:t>
      </w:r>
      <w:r w:rsidRPr="004B1301">
        <w:rPr>
          <w:rFonts w:eastAsia="新細明體" w:cstheme="minorHAnsi"/>
          <w:kern w:val="0"/>
          <w:szCs w:val="24"/>
        </w:rPr>
        <w:t xml:space="preserve"> of wafer revenue, with </w:t>
      </w:r>
      <w:r w:rsidRPr="004B1301">
        <w:rPr>
          <w:rFonts w:eastAsia="新細明體" w:cstheme="minorHAnsi"/>
          <w:b/>
          <w:bCs/>
          <w:kern w:val="0"/>
          <w:szCs w:val="24"/>
        </w:rPr>
        <w:t>3 nm accounting for 24 percent.</w:t>
      </w:r>
      <w:r w:rsidRPr="004B1301">
        <w:rPr>
          <w:rFonts w:eastAsia="新細明體" w:cstheme="minorHAnsi"/>
          <w:kern w:val="0"/>
          <w:szCs w:val="24"/>
        </w:rPr>
        <w:br/>
        <w:t xml:space="preserve">By platform, </w:t>
      </w:r>
      <w:r w:rsidRPr="004B1301">
        <w:rPr>
          <w:rFonts w:eastAsia="新細明體" w:cstheme="minorHAnsi"/>
          <w:b/>
          <w:bCs/>
          <w:kern w:val="0"/>
          <w:szCs w:val="24"/>
        </w:rPr>
        <w:t>High-Performance Computing (HPC)</w:t>
      </w:r>
      <w:r w:rsidRPr="004B1301">
        <w:rPr>
          <w:rFonts w:eastAsia="新細明體" w:cstheme="minorHAnsi"/>
          <w:kern w:val="0"/>
          <w:szCs w:val="24"/>
        </w:rPr>
        <w:t xml:space="preserve"> made up </w:t>
      </w:r>
      <w:r w:rsidRPr="004B1301">
        <w:rPr>
          <w:rFonts w:eastAsia="新細明體" w:cstheme="minorHAnsi"/>
          <w:b/>
          <w:bCs/>
          <w:kern w:val="0"/>
          <w:szCs w:val="24"/>
        </w:rPr>
        <w:t>60 percent</w:t>
      </w:r>
      <w:r w:rsidRPr="004B1301">
        <w:rPr>
          <w:rFonts w:eastAsia="新細明體" w:cstheme="minorHAnsi"/>
          <w:kern w:val="0"/>
          <w:szCs w:val="24"/>
        </w:rPr>
        <w:t xml:space="preserve">, and </w:t>
      </w:r>
      <w:r w:rsidRPr="004B1301">
        <w:rPr>
          <w:rFonts w:eastAsia="新細明體" w:cstheme="minorHAnsi"/>
          <w:b/>
          <w:bCs/>
          <w:kern w:val="0"/>
          <w:szCs w:val="24"/>
        </w:rPr>
        <w:t>Smartphones 27 percent.</w:t>
      </w:r>
      <w:r w:rsidRPr="004B1301">
        <w:rPr>
          <w:rFonts w:eastAsia="新細明體" w:cstheme="minorHAnsi"/>
          <w:kern w:val="0"/>
          <w:szCs w:val="24"/>
        </w:rPr>
        <w:br/>
        <w:t xml:space="preserve">Regionally, </w:t>
      </w:r>
      <w:r w:rsidRPr="004B1301">
        <w:rPr>
          <w:rFonts w:eastAsia="新細明體" w:cstheme="minorHAnsi"/>
          <w:b/>
          <w:bCs/>
          <w:kern w:val="0"/>
          <w:szCs w:val="24"/>
        </w:rPr>
        <w:t>North America accounted for 75 percent</w:t>
      </w:r>
      <w:r w:rsidRPr="004B1301">
        <w:rPr>
          <w:rFonts w:eastAsia="新細明體" w:cstheme="minorHAnsi"/>
          <w:kern w:val="0"/>
          <w:szCs w:val="24"/>
        </w:rPr>
        <w:t xml:space="preserve"> of total revenue, followed by </w:t>
      </w:r>
      <w:r w:rsidRPr="004B1301">
        <w:rPr>
          <w:rFonts w:eastAsia="新細明體" w:cstheme="minorHAnsi"/>
          <w:b/>
          <w:bCs/>
          <w:kern w:val="0"/>
          <w:szCs w:val="24"/>
        </w:rPr>
        <w:t>China and Asia Pacific at 9 percent each.</w:t>
      </w:r>
    </w:p>
    <w:p w14:paraId="741446A1" w14:textId="77777777" w:rsidR="004B1301" w:rsidRPr="004B1301" w:rsidRDefault="00000000" w:rsidP="004B1301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58A4F6A3">
          <v:rect id="_x0000_i1026" style="width:0;height:1.5pt" o:hralign="center" o:hrstd="t" o:hr="t" fillcolor="#a0a0a0" stroked="f"/>
        </w:pict>
      </w:r>
    </w:p>
    <w:p w14:paraId="48E675D0" w14:textId="77777777" w:rsidR="004B1301" w:rsidRPr="004B1301" w:rsidRDefault="004B1301" w:rsidP="004B1301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4B1301">
        <w:rPr>
          <w:rFonts w:eastAsia="新細明體" w:cstheme="minorHAnsi"/>
          <w:b/>
          <w:bCs/>
          <w:kern w:val="0"/>
          <w:sz w:val="27"/>
          <w:szCs w:val="27"/>
        </w:rPr>
        <w:t>2. Operational and Strategic Insights</w:t>
      </w:r>
    </w:p>
    <w:p w14:paraId="4C4298FC" w14:textId="77777777" w:rsidR="004B1301" w:rsidRPr="004B1301" w:rsidRDefault="004B1301" w:rsidP="004B1301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kern w:val="0"/>
          <w:szCs w:val="24"/>
        </w:rPr>
        <w:t xml:space="preserve">According to </w:t>
      </w:r>
      <w:r w:rsidRPr="004B1301">
        <w:rPr>
          <w:rFonts w:eastAsia="新細明體" w:cstheme="minorHAnsi"/>
          <w:b/>
          <w:bCs/>
          <w:kern w:val="0"/>
          <w:szCs w:val="24"/>
        </w:rPr>
        <w:t>CFO Wendell Huang</w:t>
      </w:r>
      <w:r w:rsidRPr="004B1301">
        <w:rPr>
          <w:rFonts w:eastAsia="新細明體" w:cstheme="minorHAnsi"/>
          <w:kern w:val="0"/>
          <w:szCs w:val="24"/>
        </w:rPr>
        <w:t xml:space="preserve"> and </w:t>
      </w:r>
      <w:r w:rsidRPr="004B1301">
        <w:rPr>
          <w:rFonts w:eastAsia="新細明體" w:cstheme="minorHAnsi"/>
          <w:b/>
          <w:bCs/>
          <w:kern w:val="0"/>
          <w:szCs w:val="24"/>
        </w:rPr>
        <w:t>Chairman and CEO Dr. C. C. Wei</w:t>
      </w:r>
      <w:r w:rsidRPr="004B1301">
        <w:rPr>
          <w:rFonts w:eastAsia="新細明體" w:cstheme="minorHAnsi"/>
          <w:kern w:val="0"/>
          <w:szCs w:val="24"/>
        </w:rPr>
        <w:t>, the strong results were driven by rising AI and HPC-related demand.</w:t>
      </w:r>
      <w:r w:rsidRPr="004B1301">
        <w:rPr>
          <w:rFonts w:eastAsia="新細明體" w:cstheme="minorHAnsi"/>
          <w:kern w:val="0"/>
          <w:szCs w:val="24"/>
        </w:rPr>
        <w:br/>
        <w:t xml:space="preserve">TSMC continued to strengthen its leadership through disciplined cost control, efficient operations, and long-term capital investment across </w:t>
      </w:r>
      <w:r w:rsidRPr="004B1301">
        <w:rPr>
          <w:rFonts w:eastAsia="新細明體" w:cstheme="minorHAnsi"/>
          <w:b/>
          <w:bCs/>
          <w:kern w:val="0"/>
          <w:szCs w:val="24"/>
        </w:rPr>
        <w:t>Taiwan, Arizona, and Japan.</w:t>
      </w:r>
      <w:r w:rsidRPr="004B1301">
        <w:rPr>
          <w:rFonts w:eastAsia="新細明體" w:cstheme="minorHAnsi"/>
          <w:kern w:val="0"/>
          <w:szCs w:val="24"/>
        </w:rPr>
        <w:br/>
        <w:t xml:space="preserve">Capital expenditure for the quarter was around </w:t>
      </w:r>
      <w:r w:rsidRPr="004B1301">
        <w:rPr>
          <w:rFonts w:eastAsia="新細明體" w:cstheme="minorHAnsi"/>
          <w:b/>
          <w:bCs/>
          <w:kern w:val="0"/>
          <w:szCs w:val="24"/>
        </w:rPr>
        <w:t>NT$ 297 billion</w:t>
      </w:r>
      <w:r w:rsidRPr="004B1301">
        <w:rPr>
          <w:rFonts w:eastAsia="新細明體" w:cstheme="minorHAnsi"/>
          <w:kern w:val="0"/>
          <w:szCs w:val="24"/>
        </w:rPr>
        <w:t xml:space="preserve">, while </w:t>
      </w:r>
      <w:r w:rsidRPr="004B1301">
        <w:rPr>
          <w:rFonts w:eastAsia="新細明體" w:cstheme="minorHAnsi"/>
          <w:b/>
          <w:bCs/>
          <w:kern w:val="0"/>
          <w:szCs w:val="24"/>
        </w:rPr>
        <w:t>return on equity (ROE)</w:t>
      </w:r>
      <w:r w:rsidRPr="004B1301">
        <w:rPr>
          <w:rFonts w:eastAsia="新細明體" w:cstheme="minorHAnsi"/>
          <w:kern w:val="0"/>
          <w:szCs w:val="24"/>
        </w:rPr>
        <w:t xml:space="preserve"> rose to </w:t>
      </w:r>
      <w:r w:rsidRPr="004B1301">
        <w:rPr>
          <w:rFonts w:eastAsia="新細明體" w:cstheme="minorHAnsi"/>
          <w:b/>
          <w:bCs/>
          <w:kern w:val="0"/>
          <w:szCs w:val="24"/>
        </w:rPr>
        <w:t>34.8 percent</w:t>
      </w:r>
      <w:r w:rsidRPr="004B1301">
        <w:rPr>
          <w:rFonts w:eastAsia="新細明體" w:cstheme="minorHAnsi"/>
          <w:kern w:val="0"/>
          <w:szCs w:val="24"/>
        </w:rPr>
        <w:t xml:space="preserve">, reflecting sound profitability and shareholder </w:t>
      </w:r>
      <w:r w:rsidRPr="004B1301">
        <w:rPr>
          <w:rFonts w:eastAsia="新細明體" w:cstheme="minorHAnsi"/>
          <w:kern w:val="0"/>
          <w:szCs w:val="24"/>
        </w:rPr>
        <w:lastRenderedPageBreak/>
        <w:t>value.</w:t>
      </w:r>
      <w:r w:rsidRPr="004B1301">
        <w:rPr>
          <w:rFonts w:eastAsia="新細明體" w:cstheme="minorHAnsi"/>
          <w:kern w:val="0"/>
          <w:szCs w:val="24"/>
        </w:rPr>
        <w:br/>
        <w:t xml:space="preserve">The core message was clear: </w:t>
      </w:r>
      <w:r w:rsidRPr="004B1301">
        <w:rPr>
          <w:rFonts w:eastAsia="新細明體" w:cstheme="minorHAnsi"/>
          <w:b/>
          <w:bCs/>
          <w:kern w:val="0"/>
          <w:szCs w:val="24"/>
        </w:rPr>
        <w:t>TSMC will continue to “Unleash Innovation” while pursuing sustainable growth.</w:t>
      </w:r>
    </w:p>
    <w:p w14:paraId="7159B3A0" w14:textId="77777777" w:rsidR="004B1301" w:rsidRPr="004B1301" w:rsidRDefault="00000000" w:rsidP="004B1301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4B96B8C2">
          <v:rect id="_x0000_i1027" style="width:0;height:1.5pt" o:hralign="center" o:hrstd="t" o:hr="t" fillcolor="#a0a0a0" stroked="f"/>
        </w:pict>
      </w:r>
    </w:p>
    <w:p w14:paraId="194D05E7" w14:textId="77777777" w:rsidR="004B1301" w:rsidRPr="004B1301" w:rsidRDefault="004B1301" w:rsidP="004B1301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4B1301">
        <w:rPr>
          <w:rFonts w:eastAsia="新細明體" w:cstheme="minorHAnsi"/>
          <w:b/>
          <w:bCs/>
          <w:kern w:val="0"/>
          <w:sz w:val="27"/>
          <w:szCs w:val="27"/>
        </w:rPr>
        <w:t>3. ESG and Sustainability Performance</w:t>
      </w:r>
    </w:p>
    <w:p w14:paraId="3AE81D4D" w14:textId="77777777" w:rsidR="004B1301" w:rsidRPr="004B1301" w:rsidRDefault="004B1301" w:rsidP="004B1301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kern w:val="0"/>
          <w:szCs w:val="24"/>
        </w:rPr>
        <w:t xml:space="preserve">Next, we examined the </w:t>
      </w:r>
      <w:r w:rsidRPr="004B1301">
        <w:rPr>
          <w:rFonts w:eastAsia="新細明體" w:cstheme="minorHAnsi"/>
          <w:b/>
          <w:bCs/>
          <w:kern w:val="0"/>
          <w:szCs w:val="24"/>
        </w:rPr>
        <w:t>2024 TSMC Sustainability Report</w:t>
      </w:r>
      <w:r w:rsidRPr="004B1301">
        <w:rPr>
          <w:rFonts w:eastAsia="新細明體" w:cstheme="minorHAnsi"/>
          <w:kern w:val="0"/>
          <w:szCs w:val="24"/>
        </w:rPr>
        <w:t>, which defines five roles in its ESG strategy:</w:t>
      </w:r>
    </w:p>
    <w:p w14:paraId="75B8D728" w14:textId="77777777" w:rsidR="004B1301" w:rsidRPr="004B1301" w:rsidRDefault="004B1301" w:rsidP="004B1301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b/>
          <w:bCs/>
          <w:kern w:val="0"/>
          <w:szCs w:val="24"/>
        </w:rPr>
        <w:t>Pioneer of Innovation</w:t>
      </w:r>
      <w:r w:rsidRPr="004B1301">
        <w:rPr>
          <w:rFonts w:eastAsia="新細明體" w:cstheme="minorHAnsi"/>
          <w:kern w:val="0"/>
          <w:szCs w:val="24"/>
        </w:rPr>
        <w:t xml:space="preserve"> – advancing 2 nm and A14 research for next-generation AI chips.</w:t>
      </w:r>
    </w:p>
    <w:p w14:paraId="4F22FE9C" w14:textId="77777777" w:rsidR="004B1301" w:rsidRPr="004B1301" w:rsidRDefault="004B1301" w:rsidP="004B1301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b/>
          <w:bCs/>
          <w:kern w:val="0"/>
          <w:szCs w:val="24"/>
        </w:rPr>
        <w:t>Responsible Purchaser</w:t>
      </w:r>
      <w:r w:rsidRPr="004B1301">
        <w:rPr>
          <w:rFonts w:eastAsia="新細明體" w:cstheme="minorHAnsi"/>
          <w:kern w:val="0"/>
          <w:szCs w:val="24"/>
        </w:rPr>
        <w:t xml:space="preserve"> – partnering with suppliers to achieve </w:t>
      </w:r>
      <w:r w:rsidRPr="004B1301">
        <w:rPr>
          <w:rFonts w:eastAsia="新細明體" w:cstheme="minorHAnsi"/>
          <w:b/>
          <w:bCs/>
          <w:kern w:val="0"/>
          <w:szCs w:val="24"/>
        </w:rPr>
        <w:t>SBTi-based carbon reduction</w:t>
      </w:r>
      <w:r w:rsidRPr="004B1301">
        <w:rPr>
          <w:rFonts w:eastAsia="新細明體" w:cstheme="minorHAnsi"/>
          <w:kern w:val="0"/>
          <w:szCs w:val="24"/>
        </w:rPr>
        <w:t xml:space="preserve"> and responsible mineral sourcing.</w:t>
      </w:r>
    </w:p>
    <w:p w14:paraId="0C8E81DD" w14:textId="77777777" w:rsidR="004B1301" w:rsidRPr="004B1301" w:rsidRDefault="004B1301" w:rsidP="004B1301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b/>
          <w:bCs/>
          <w:kern w:val="0"/>
          <w:szCs w:val="24"/>
        </w:rPr>
        <w:t>Executor of Green Power</w:t>
      </w:r>
      <w:r w:rsidRPr="004B1301">
        <w:rPr>
          <w:rFonts w:eastAsia="新細明體" w:cstheme="minorHAnsi"/>
          <w:kern w:val="0"/>
          <w:szCs w:val="24"/>
        </w:rPr>
        <w:t xml:space="preserve"> – achieving </w:t>
      </w:r>
      <w:r w:rsidRPr="004B1301">
        <w:rPr>
          <w:rFonts w:eastAsia="新細明體" w:cstheme="minorHAnsi"/>
          <w:b/>
          <w:bCs/>
          <w:kern w:val="0"/>
          <w:szCs w:val="24"/>
        </w:rPr>
        <w:t>96 percent reduction in F-gases</w:t>
      </w:r>
      <w:r w:rsidRPr="004B1301">
        <w:rPr>
          <w:rFonts w:eastAsia="新細明體" w:cstheme="minorHAnsi"/>
          <w:kern w:val="0"/>
          <w:szCs w:val="24"/>
        </w:rPr>
        <w:t xml:space="preserve"> and developing </w:t>
      </w:r>
      <w:r w:rsidRPr="004B1301">
        <w:rPr>
          <w:rFonts w:eastAsia="新細明體" w:cstheme="minorHAnsi"/>
          <w:b/>
          <w:bCs/>
          <w:kern w:val="0"/>
          <w:szCs w:val="24"/>
        </w:rPr>
        <w:t>hydrogen-to-electricity recycling</w:t>
      </w:r>
      <w:r w:rsidRPr="004B1301">
        <w:rPr>
          <w:rFonts w:eastAsia="新細明體" w:cstheme="minorHAnsi"/>
          <w:kern w:val="0"/>
          <w:szCs w:val="24"/>
        </w:rPr>
        <w:t xml:space="preserve"> with 52 percent efficiency.</w:t>
      </w:r>
    </w:p>
    <w:p w14:paraId="5218B0EF" w14:textId="77777777" w:rsidR="004B1301" w:rsidRPr="004B1301" w:rsidRDefault="004B1301" w:rsidP="004B1301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b/>
          <w:bCs/>
          <w:kern w:val="0"/>
          <w:szCs w:val="24"/>
        </w:rPr>
        <w:t>Company Employees Are Proud Of</w:t>
      </w:r>
      <w:r w:rsidRPr="004B1301">
        <w:rPr>
          <w:rFonts w:eastAsia="新細明體" w:cstheme="minorHAnsi"/>
          <w:kern w:val="0"/>
          <w:szCs w:val="24"/>
        </w:rPr>
        <w:t xml:space="preserve"> – promoting diversity, occupational safety, and the </w:t>
      </w:r>
      <w:r w:rsidRPr="004B1301">
        <w:rPr>
          <w:rFonts w:eastAsia="新細明體" w:cstheme="minorHAnsi"/>
          <w:b/>
          <w:bCs/>
          <w:kern w:val="0"/>
          <w:szCs w:val="24"/>
        </w:rPr>
        <w:t>ESG Academy</w:t>
      </w:r>
      <w:r w:rsidRPr="004B1301">
        <w:rPr>
          <w:rFonts w:eastAsia="新細明體" w:cstheme="minorHAnsi"/>
          <w:kern w:val="0"/>
          <w:szCs w:val="24"/>
        </w:rPr>
        <w:t xml:space="preserve"> for employee learning.</w:t>
      </w:r>
    </w:p>
    <w:p w14:paraId="18489CC4" w14:textId="77777777" w:rsidR="004B1301" w:rsidRPr="004B1301" w:rsidRDefault="004B1301" w:rsidP="004B1301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b/>
          <w:bCs/>
          <w:kern w:val="0"/>
          <w:szCs w:val="24"/>
        </w:rPr>
        <w:t>Force for Social Change</w:t>
      </w:r>
      <w:r w:rsidRPr="004B1301">
        <w:rPr>
          <w:rFonts w:eastAsia="新細明體" w:cstheme="minorHAnsi"/>
          <w:kern w:val="0"/>
          <w:szCs w:val="24"/>
        </w:rPr>
        <w:t xml:space="preserve"> – supporting education, health, arts, and community projects through its foundations.</w:t>
      </w:r>
    </w:p>
    <w:p w14:paraId="478F134A" w14:textId="77777777" w:rsidR="004B1301" w:rsidRPr="004B1301" w:rsidRDefault="004B1301" w:rsidP="004B1301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kern w:val="0"/>
          <w:szCs w:val="24"/>
        </w:rPr>
        <w:t xml:space="preserve">The report shows that TSMC is aligning with </w:t>
      </w:r>
      <w:r w:rsidRPr="004B1301">
        <w:rPr>
          <w:rFonts w:eastAsia="新細明體" w:cstheme="minorHAnsi"/>
          <w:b/>
          <w:bCs/>
          <w:kern w:val="0"/>
          <w:szCs w:val="24"/>
        </w:rPr>
        <w:t>IFRS S1 and S2 Sustainability Standards</w:t>
      </w:r>
      <w:r w:rsidRPr="004B1301">
        <w:rPr>
          <w:rFonts w:eastAsia="新細明體" w:cstheme="minorHAnsi"/>
          <w:kern w:val="0"/>
          <w:szCs w:val="24"/>
        </w:rPr>
        <w:t xml:space="preserve"> and </w:t>
      </w:r>
      <w:r w:rsidRPr="004B1301">
        <w:rPr>
          <w:rFonts w:eastAsia="新細明體" w:cstheme="minorHAnsi"/>
          <w:b/>
          <w:bCs/>
          <w:kern w:val="0"/>
          <w:szCs w:val="24"/>
        </w:rPr>
        <w:t>European ESRS double materiality principles</w:t>
      </w:r>
      <w:r w:rsidRPr="004B1301">
        <w:rPr>
          <w:rFonts w:eastAsia="新細明體" w:cstheme="minorHAnsi"/>
          <w:kern w:val="0"/>
          <w:szCs w:val="24"/>
        </w:rPr>
        <w:t xml:space="preserve">, laying the foundation for </w:t>
      </w:r>
      <w:r w:rsidRPr="004B1301">
        <w:rPr>
          <w:rFonts w:eastAsia="新細明體" w:cstheme="minorHAnsi"/>
          <w:b/>
          <w:bCs/>
          <w:kern w:val="0"/>
          <w:szCs w:val="24"/>
        </w:rPr>
        <w:t>digital ESG data reporting</w:t>
      </w:r>
      <w:r w:rsidRPr="004B1301">
        <w:rPr>
          <w:rFonts w:eastAsia="新細明體" w:cstheme="minorHAnsi"/>
          <w:kern w:val="0"/>
          <w:szCs w:val="24"/>
        </w:rPr>
        <w:t xml:space="preserve"> through an </w:t>
      </w:r>
      <w:r w:rsidRPr="004B1301">
        <w:rPr>
          <w:rFonts w:eastAsia="新細明體" w:cstheme="minorHAnsi"/>
          <w:b/>
          <w:bCs/>
          <w:kern w:val="0"/>
          <w:szCs w:val="24"/>
        </w:rPr>
        <w:t>XBRL-based taxonomy.</w:t>
      </w:r>
    </w:p>
    <w:p w14:paraId="56E3D699" w14:textId="77777777" w:rsidR="004B1301" w:rsidRPr="004B1301" w:rsidRDefault="00000000" w:rsidP="004B1301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703AD9BE">
          <v:rect id="_x0000_i1028" style="width:0;height:1.5pt" o:hralign="center" o:hrstd="t" o:hr="t" fillcolor="#a0a0a0" stroked="f"/>
        </w:pict>
      </w:r>
    </w:p>
    <w:p w14:paraId="7DAC87D1" w14:textId="77777777" w:rsidR="004B1301" w:rsidRPr="004B1301" w:rsidRDefault="004B1301" w:rsidP="004B1301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4B1301">
        <w:rPr>
          <w:rFonts w:eastAsia="新細明體" w:cstheme="minorHAnsi"/>
          <w:b/>
          <w:bCs/>
          <w:kern w:val="0"/>
          <w:sz w:val="27"/>
          <w:szCs w:val="27"/>
        </w:rPr>
        <w:t>4. International Disclosure under SEC Regulations</w:t>
      </w:r>
    </w:p>
    <w:p w14:paraId="5EE34DC4" w14:textId="77777777" w:rsidR="004B1301" w:rsidRPr="004B1301" w:rsidRDefault="004B1301" w:rsidP="004B1301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kern w:val="0"/>
          <w:szCs w:val="24"/>
        </w:rPr>
        <w:t xml:space="preserve">We also reviewed the key </w:t>
      </w:r>
      <w:r w:rsidRPr="004B1301">
        <w:rPr>
          <w:rFonts w:eastAsia="新細明體" w:cstheme="minorHAnsi"/>
          <w:b/>
          <w:bCs/>
          <w:kern w:val="0"/>
          <w:szCs w:val="24"/>
        </w:rPr>
        <w:t>U.S. SEC filing requirements</w:t>
      </w:r>
      <w:r w:rsidRPr="004B1301">
        <w:rPr>
          <w:rFonts w:eastAsia="新細明體" w:cstheme="minorHAnsi"/>
          <w:kern w:val="0"/>
          <w:szCs w:val="24"/>
        </w:rPr>
        <w:t xml:space="preserve"> for foreign issuers like TSMC:</w:t>
      </w:r>
    </w:p>
    <w:p w14:paraId="512B4752" w14:textId="77777777" w:rsidR="004B1301" w:rsidRPr="004B1301" w:rsidRDefault="004B1301" w:rsidP="004B1301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b/>
          <w:bCs/>
          <w:kern w:val="0"/>
          <w:szCs w:val="24"/>
        </w:rPr>
        <w:t>Form 20-F</w:t>
      </w:r>
      <w:r w:rsidRPr="004B1301">
        <w:rPr>
          <w:rFonts w:eastAsia="新細明體" w:cstheme="minorHAnsi"/>
          <w:kern w:val="0"/>
          <w:szCs w:val="24"/>
        </w:rPr>
        <w:t xml:space="preserve"> – annual report equivalent to a U.S. 10-K.</w:t>
      </w:r>
    </w:p>
    <w:p w14:paraId="045BFCF1" w14:textId="77777777" w:rsidR="004B1301" w:rsidRPr="004B1301" w:rsidRDefault="004B1301" w:rsidP="004B1301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b/>
          <w:bCs/>
          <w:kern w:val="0"/>
          <w:szCs w:val="24"/>
        </w:rPr>
        <w:t>Form 6-K</w:t>
      </w:r>
      <w:r w:rsidRPr="004B1301">
        <w:rPr>
          <w:rFonts w:eastAsia="新細明體" w:cstheme="minorHAnsi"/>
          <w:kern w:val="0"/>
          <w:szCs w:val="24"/>
        </w:rPr>
        <w:t xml:space="preserve"> – quarterly or event-based reports, similar to 10-Q and 8-K combined.</w:t>
      </w:r>
    </w:p>
    <w:p w14:paraId="58036F75" w14:textId="77777777" w:rsidR="004B1301" w:rsidRPr="004B1301" w:rsidRDefault="004B1301" w:rsidP="004B1301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b/>
          <w:bCs/>
          <w:kern w:val="0"/>
          <w:szCs w:val="24"/>
        </w:rPr>
        <w:t>Form SD</w:t>
      </w:r>
      <w:r w:rsidRPr="004B1301">
        <w:rPr>
          <w:rFonts w:eastAsia="新細明體" w:cstheme="minorHAnsi"/>
          <w:kern w:val="0"/>
          <w:szCs w:val="24"/>
        </w:rPr>
        <w:t xml:space="preserve"> – conflict minerals disclosure for responsible sourcing.</w:t>
      </w:r>
    </w:p>
    <w:p w14:paraId="16D7C767" w14:textId="77777777" w:rsidR="004B1301" w:rsidRPr="004B1301" w:rsidRDefault="004B1301" w:rsidP="004B1301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b/>
          <w:bCs/>
          <w:kern w:val="0"/>
          <w:szCs w:val="24"/>
        </w:rPr>
        <w:t>Schedule 13G</w:t>
      </w:r>
      <w:r w:rsidRPr="004B1301">
        <w:rPr>
          <w:rFonts w:eastAsia="新細明體" w:cstheme="minorHAnsi"/>
          <w:kern w:val="0"/>
          <w:szCs w:val="24"/>
        </w:rPr>
        <w:t xml:space="preserve"> – ownership report for shareholders holding over 5 percent.</w:t>
      </w:r>
      <w:r w:rsidRPr="004B1301">
        <w:rPr>
          <w:rFonts w:eastAsia="新細明體" w:cstheme="minorHAnsi"/>
          <w:kern w:val="0"/>
          <w:szCs w:val="24"/>
        </w:rPr>
        <w:br/>
        <w:t xml:space="preserve">These filings reinforce </w:t>
      </w:r>
      <w:r w:rsidRPr="004B1301">
        <w:rPr>
          <w:rFonts w:eastAsia="新細明體" w:cstheme="minorHAnsi"/>
          <w:b/>
          <w:bCs/>
          <w:kern w:val="0"/>
          <w:szCs w:val="24"/>
        </w:rPr>
        <w:t>corporate transparency, governance, and global investor confidence.</w:t>
      </w:r>
    </w:p>
    <w:p w14:paraId="5B05969E" w14:textId="77777777" w:rsidR="004B1301" w:rsidRPr="004B1301" w:rsidRDefault="00000000" w:rsidP="004B1301">
      <w:pPr>
        <w:widowControl/>
        <w:rPr>
          <w:rFonts w:eastAsia="新細明體" w:cstheme="minorHAnsi"/>
          <w:kern w:val="0"/>
          <w:szCs w:val="24"/>
        </w:rPr>
      </w:pPr>
      <w:r>
        <w:rPr>
          <w:rFonts w:eastAsia="新細明體" w:cstheme="minorHAnsi"/>
          <w:kern w:val="0"/>
          <w:szCs w:val="24"/>
        </w:rPr>
        <w:pict w14:anchorId="1CC0441D">
          <v:rect id="_x0000_i1029" style="width:0;height:1.5pt" o:hralign="center" o:hrstd="t" o:hr="t" fillcolor="#a0a0a0" stroked="f"/>
        </w:pict>
      </w:r>
    </w:p>
    <w:p w14:paraId="00700757" w14:textId="77777777" w:rsidR="004B1301" w:rsidRPr="004B1301" w:rsidRDefault="004B1301" w:rsidP="004B1301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4B1301">
        <w:rPr>
          <w:rFonts w:eastAsia="新細明體" w:cstheme="minorHAnsi"/>
          <w:b/>
          <w:bCs/>
          <w:kern w:val="0"/>
          <w:sz w:val="27"/>
          <w:szCs w:val="27"/>
        </w:rPr>
        <w:lastRenderedPageBreak/>
        <w:t>Closing</w:t>
      </w:r>
    </w:p>
    <w:p w14:paraId="64D64335" w14:textId="77777777" w:rsidR="004B1301" w:rsidRPr="004B1301" w:rsidRDefault="004B1301" w:rsidP="004B1301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kern w:val="0"/>
          <w:szCs w:val="24"/>
        </w:rPr>
        <w:t>In summary, this week we learned:</w:t>
      </w:r>
      <w:r w:rsidRPr="004B1301">
        <w:rPr>
          <w:rFonts w:eastAsia="新細明體" w:cstheme="minorHAnsi"/>
          <w:kern w:val="0"/>
          <w:szCs w:val="24"/>
        </w:rPr>
        <w:br/>
        <w:t>• TSMC delivered record results in Q2 2025 through advanced process technology and AI-driven growth.</w:t>
      </w:r>
      <w:r w:rsidRPr="004B1301">
        <w:rPr>
          <w:rFonts w:eastAsia="新細明體" w:cstheme="minorHAnsi"/>
          <w:kern w:val="0"/>
          <w:szCs w:val="24"/>
        </w:rPr>
        <w:br/>
        <w:t>• Its ESG strategy integrates innovation, green manufacturing, supply-chain responsibility, and employee empowerment.</w:t>
      </w:r>
      <w:r w:rsidRPr="004B1301">
        <w:rPr>
          <w:rFonts w:eastAsia="新細明體" w:cstheme="minorHAnsi"/>
          <w:kern w:val="0"/>
          <w:szCs w:val="24"/>
        </w:rPr>
        <w:br/>
        <w:t xml:space="preserve">• Global reporting frameworks such as </w:t>
      </w:r>
      <w:r w:rsidRPr="004B1301">
        <w:rPr>
          <w:rFonts w:eastAsia="新細明體" w:cstheme="minorHAnsi"/>
          <w:b/>
          <w:bCs/>
          <w:kern w:val="0"/>
          <w:szCs w:val="24"/>
        </w:rPr>
        <w:t>IFRS S1/S2</w:t>
      </w:r>
      <w:r w:rsidRPr="004B1301">
        <w:rPr>
          <w:rFonts w:eastAsia="新細明體" w:cstheme="minorHAnsi"/>
          <w:kern w:val="0"/>
          <w:szCs w:val="24"/>
        </w:rPr>
        <w:t xml:space="preserve">, </w:t>
      </w:r>
      <w:r w:rsidRPr="004B1301">
        <w:rPr>
          <w:rFonts w:eastAsia="新細明體" w:cstheme="minorHAnsi"/>
          <w:b/>
          <w:bCs/>
          <w:kern w:val="0"/>
          <w:szCs w:val="24"/>
        </w:rPr>
        <w:t>ESRS</w:t>
      </w:r>
      <w:r w:rsidRPr="004B1301">
        <w:rPr>
          <w:rFonts w:eastAsia="新細明體" w:cstheme="minorHAnsi"/>
          <w:kern w:val="0"/>
          <w:szCs w:val="24"/>
        </w:rPr>
        <w:t xml:space="preserve">, and </w:t>
      </w:r>
      <w:r w:rsidRPr="004B1301">
        <w:rPr>
          <w:rFonts w:eastAsia="新細明體" w:cstheme="minorHAnsi"/>
          <w:b/>
          <w:bCs/>
          <w:kern w:val="0"/>
          <w:szCs w:val="24"/>
        </w:rPr>
        <w:t>SEC filings</w:t>
      </w:r>
      <w:r w:rsidRPr="004B1301">
        <w:rPr>
          <w:rFonts w:eastAsia="新細明體" w:cstheme="minorHAnsi"/>
          <w:kern w:val="0"/>
          <w:szCs w:val="24"/>
        </w:rPr>
        <w:t xml:space="preserve"> shape how firms communicate both financial and sustainability information.</w:t>
      </w:r>
      <w:r w:rsidRPr="004B1301">
        <w:rPr>
          <w:rFonts w:eastAsia="新細明體" w:cstheme="minorHAnsi"/>
          <w:kern w:val="0"/>
          <w:szCs w:val="24"/>
        </w:rPr>
        <w:br/>
        <w:t xml:space="preserve">• TSMC exemplifies how </w:t>
      </w:r>
      <w:r w:rsidRPr="004B1301">
        <w:rPr>
          <w:rFonts w:eastAsia="新細明體" w:cstheme="minorHAnsi"/>
          <w:b/>
          <w:bCs/>
          <w:kern w:val="0"/>
          <w:szCs w:val="24"/>
        </w:rPr>
        <w:t>digital reporting unites profitability and purpose</w:t>
      </w:r>
      <w:r w:rsidRPr="004B1301">
        <w:rPr>
          <w:rFonts w:eastAsia="新細明體" w:cstheme="minorHAnsi"/>
          <w:kern w:val="0"/>
          <w:szCs w:val="24"/>
        </w:rPr>
        <w:t>, setting a benchmark for transparent and sustainable corporate governance.</w:t>
      </w:r>
    </w:p>
    <w:p w14:paraId="0ADD47B6" w14:textId="77777777" w:rsidR="004B1301" w:rsidRPr="004B1301" w:rsidRDefault="004B1301" w:rsidP="004B1301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4B1301">
        <w:rPr>
          <w:rFonts w:eastAsia="新細明體" w:cstheme="minorHAnsi"/>
          <w:kern w:val="0"/>
          <w:szCs w:val="24"/>
        </w:rPr>
        <w:t>Together, these insights illustrate how financial excellence and ESG leadership are converging to define the next generation of accounting and sustainability reporting.</w:t>
      </w:r>
    </w:p>
    <w:p w14:paraId="726E242F" w14:textId="1A737945" w:rsidR="00207C08" w:rsidRPr="004B1301" w:rsidRDefault="004B1301" w:rsidP="004B1301">
      <w:pPr>
        <w:widowControl/>
        <w:spacing w:before="100" w:beforeAutospacing="1" w:after="100" w:afterAutospacing="1"/>
        <w:rPr>
          <w:rFonts w:cstheme="minorHAnsi"/>
        </w:rPr>
      </w:pPr>
      <w:r w:rsidRPr="004B1301">
        <w:rPr>
          <w:rFonts w:eastAsia="新細明體" w:cstheme="minorHAnsi"/>
          <w:kern w:val="0"/>
          <w:szCs w:val="24"/>
        </w:rPr>
        <w:t>Thank you.</w:t>
      </w:r>
    </w:p>
    <w:sectPr w:rsidR="00207C08" w:rsidRPr="004B13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E28"/>
    <w:multiLevelType w:val="multilevel"/>
    <w:tmpl w:val="90B6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E40C8"/>
    <w:multiLevelType w:val="multilevel"/>
    <w:tmpl w:val="D0EA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228FC"/>
    <w:multiLevelType w:val="multilevel"/>
    <w:tmpl w:val="0904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84102"/>
    <w:multiLevelType w:val="multilevel"/>
    <w:tmpl w:val="5776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583075">
    <w:abstractNumId w:val="3"/>
  </w:num>
  <w:num w:numId="2" w16cid:durableId="2123760662">
    <w:abstractNumId w:val="2"/>
  </w:num>
  <w:num w:numId="3" w16cid:durableId="1566842815">
    <w:abstractNumId w:val="1"/>
  </w:num>
  <w:num w:numId="4" w16cid:durableId="72194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01"/>
    <w:rsid w:val="00207C08"/>
    <w:rsid w:val="004B1301"/>
    <w:rsid w:val="00D8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5A29"/>
  <w15:chartTrackingRefBased/>
  <w15:docId w15:val="{90F2BC48-9439-4D5D-89DF-85E7894D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B130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130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4B1301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4B1301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B13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4B130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50">
    <w:name w:val="標題 5 字元"/>
    <w:basedOn w:val="a0"/>
    <w:link w:val="5"/>
    <w:uiPriority w:val="9"/>
    <w:rsid w:val="004B1301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60">
    <w:name w:val="標題 6 字元"/>
    <w:basedOn w:val="a0"/>
    <w:link w:val="6"/>
    <w:uiPriority w:val="9"/>
    <w:rsid w:val="004B1301"/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styleId="a3">
    <w:name w:val="Strong"/>
    <w:basedOn w:val="a0"/>
    <w:uiPriority w:val="22"/>
    <w:qFormat/>
    <w:rsid w:val="004B1301"/>
    <w:rPr>
      <w:b/>
      <w:bCs/>
    </w:rPr>
  </w:style>
  <w:style w:type="paragraph" w:styleId="Web">
    <w:name w:val="Normal (Web)"/>
    <w:basedOn w:val="a"/>
    <w:uiPriority w:val="99"/>
    <w:semiHidden/>
    <w:unhideWhenUsed/>
    <w:rsid w:val="004B13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relative">
    <w:name w:val="relative"/>
    <w:basedOn w:val="a0"/>
    <w:rsid w:val="004B1301"/>
  </w:style>
  <w:style w:type="paragraph" w:customStyle="1" w:styleId="not-prose">
    <w:name w:val="not-prose"/>
    <w:basedOn w:val="a"/>
    <w:rsid w:val="004B13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04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5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8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周國華</dc:creator>
  <cp:keywords/>
  <dc:description/>
  <cp:lastModifiedBy>周國華</cp:lastModifiedBy>
  <cp:revision>2</cp:revision>
  <dcterms:created xsi:type="dcterms:W3CDTF">2025-10-08T17:16:00Z</dcterms:created>
  <dcterms:modified xsi:type="dcterms:W3CDTF">2025-10-08T17:27:00Z</dcterms:modified>
</cp:coreProperties>
</file>